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D3" w:rsidRDefault="00B13FD3">
      <w:pPr>
        <w:widowControl w:val="0"/>
        <w:autoSpaceDE w:val="0"/>
        <w:autoSpaceDN w:val="0"/>
        <w:adjustRightInd w:val="0"/>
        <w:jc w:val="center"/>
        <w:rPr>
          <w:rFonts w:ascii="Arial" w:hAnsi="Arial" w:cs="Arial"/>
          <w:sz w:val="32"/>
          <w:szCs w:val="32"/>
        </w:rPr>
      </w:pPr>
      <w:bookmarkStart w:id="0" w:name="_GoBack"/>
      <w:bookmarkEnd w:id="0"/>
    </w:p>
    <w:p w:rsidR="00F30DD7" w:rsidRPr="00F30DD7" w:rsidRDefault="00F30DD7" w:rsidP="00F30DD7">
      <w:pPr>
        <w:widowControl w:val="0"/>
        <w:autoSpaceDE w:val="0"/>
        <w:autoSpaceDN w:val="0"/>
        <w:adjustRightInd w:val="0"/>
        <w:rPr>
          <w:b/>
        </w:rPr>
      </w:pPr>
      <w:r w:rsidRPr="00F30DD7">
        <w:rPr>
          <w:b/>
        </w:rPr>
        <w:t>REFERENDUM</w:t>
      </w:r>
      <w:r w:rsidR="00003434">
        <w:rPr>
          <w:b/>
        </w:rPr>
        <w:t xml:space="preserve"> </w:t>
      </w:r>
      <w:r w:rsidRPr="00F30DD7">
        <w:rPr>
          <w:b/>
        </w:rPr>
        <w:t>DEL 20 e 21 SETTEMBRE 2020</w:t>
      </w:r>
    </w:p>
    <w:p w:rsidR="00F30DD7" w:rsidRPr="00F30DD7" w:rsidRDefault="00F30DD7" w:rsidP="00F30DD7">
      <w:pPr>
        <w:widowControl w:val="0"/>
        <w:autoSpaceDE w:val="0"/>
        <w:autoSpaceDN w:val="0"/>
        <w:adjustRightInd w:val="0"/>
        <w:rPr>
          <w:b/>
        </w:rPr>
      </w:pPr>
      <w:r w:rsidRPr="00F30DD7">
        <w:rPr>
          <w:b/>
        </w:rPr>
        <w:t xml:space="preserve"> Adempimenti in materia di propaganda elettorale</w:t>
      </w:r>
      <w:r w:rsidR="000103E3">
        <w:rPr>
          <w:b/>
        </w:rPr>
        <w:t>.</w:t>
      </w:r>
      <w:r w:rsidRPr="00F30DD7">
        <w:rPr>
          <w:b/>
        </w:rPr>
        <w:t xml:space="preserve"> Presentazione domande per affissione di stampati, manifesti, ecc. d</w:t>
      </w:r>
      <w:r w:rsidR="00D12A12">
        <w:rPr>
          <w:b/>
        </w:rPr>
        <w:t>a parte di partiti o gruppi poli</w:t>
      </w:r>
      <w:r w:rsidRPr="00F30DD7">
        <w:rPr>
          <w:b/>
        </w:rPr>
        <w:t>tici rappresentati in Parlamento o dei promotori del referendum.</w:t>
      </w:r>
    </w:p>
    <w:p w:rsidR="00F30DD7" w:rsidRDefault="00F30DD7" w:rsidP="00F30DD7">
      <w:pPr>
        <w:widowControl w:val="0"/>
        <w:autoSpaceDE w:val="0"/>
        <w:autoSpaceDN w:val="0"/>
        <w:adjustRightInd w:val="0"/>
      </w:pPr>
    </w:p>
    <w:p w:rsidR="00F30DD7" w:rsidRDefault="00F30DD7" w:rsidP="00F30DD7">
      <w:pPr>
        <w:widowControl w:val="0"/>
        <w:autoSpaceDE w:val="0"/>
        <w:autoSpaceDN w:val="0"/>
        <w:adjustRightInd w:val="0"/>
        <w:jc w:val="both"/>
      </w:pPr>
      <w:r>
        <w:t xml:space="preserve"> L'art. 1, comma 400, lettera h) della legge 27 dicembre 2013, n. 147 (legge di stabilità 2014), com'è noto, ha apportato modifiche alla legge 4 aprile 1956, n. 212, per effetto delle quali sono stati soppressi gli spazi per le affissioni di propaganda indiretta e sono stati ridotti quelli per le affissioni di propaganda diretta. </w:t>
      </w:r>
    </w:p>
    <w:p w:rsidR="00F30DD7" w:rsidRDefault="00F30DD7" w:rsidP="00F30DD7">
      <w:pPr>
        <w:widowControl w:val="0"/>
        <w:autoSpaceDE w:val="0"/>
        <w:autoSpaceDN w:val="0"/>
        <w:adjustRightInd w:val="0"/>
        <w:jc w:val="both"/>
      </w:pPr>
      <w:r>
        <w:t xml:space="preserve">Ciò premesso, ai sensi dell'art. 52 della legge 25 maggio 1970, n. 352, alla propaganda relativa allo svolgimento dei referendum previsti dalla medesima legge si applicano le disposizioni della legge 4 aprile 1956, n. 212, e le facoltà riconosciute ai partiti e gruppi politici che partecipano direttamente alla competizione elettorale, concernenti l'assegnazione degli appositi spazi per le affissioni di propaganda, si intendono attribuite ai partiti e gruppi politici rappresentati in Parlamento e ai promotori del referendum, questi ultimi considerati come gruppo unico. </w:t>
      </w:r>
    </w:p>
    <w:p w:rsidR="00F30DD7" w:rsidRDefault="00F30DD7" w:rsidP="00F30DD7">
      <w:pPr>
        <w:widowControl w:val="0"/>
        <w:autoSpaceDE w:val="0"/>
        <w:autoSpaceDN w:val="0"/>
        <w:adjustRightInd w:val="0"/>
        <w:jc w:val="both"/>
      </w:pPr>
      <w:r>
        <w:t xml:space="preserve">In ogni caso, ai sensi dell'art. 52, quarto comma, della legge n. 352/1970 e dell'art. 4, comma 1,della legge n. 212/1956, </w:t>
      </w:r>
      <w:r w:rsidRPr="00F30DD7">
        <w:rPr>
          <w:b/>
        </w:rPr>
        <w:t xml:space="preserve">i partiti o gruppi politici rappresentati in Parlamento e il gruppo di promotori del referendum che intendano affiggere stampati, giornali murali od altri e manifesti di propaganda per il referendum in oggetto devono presentare alla giunta comunale istanza di assegnazione dei relativi spazi entro il 34° giorno antecedente quello della votazione, e quindi </w:t>
      </w:r>
      <w:r w:rsidRPr="009C0784">
        <w:rPr>
          <w:b/>
          <w:u w:val="single"/>
        </w:rPr>
        <w:t>entro lunedì 17 agosto 2020.</w:t>
      </w:r>
      <w:r>
        <w:t xml:space="preserve"> </w:t>
      </w:r>
    </w:p>
    <w:p w:rsidR="00F30DD7" w:rsidRDefault="00F30DD7" w:rsidP="00F30DD7">
      <w:pPr>
        <w:widowControl w:val="0"/>
        <w:autoSpaceDE w:val="0"/>
        <w:autoSpaceDN w:val="0"/>
        <w:adjustRightInd w:val="0"/>
        <w:jc w:val="both"/>
      </w:pPr>
      <w:r>
        <w:t xml:space="preserve">Le domande prodotte dai partiti o gruppi politici rappresentati in Parlamento dovranno essere sottoscritte dai rispettivi organi nazionali o parlamentari o dai rispettivi organi a livello regionale, provinciale o, se esistenti, a livello comunale. </w:t>
      </w:r>
    </w:p>
    <w:p w:rsidR="00F30DD7" w:rsidRDefault="00F30DD7" w:rsidP="00F30DD7">
      <w:pPr>
        <w:widowControl w:val="0"/>
        <w:autoSpaceDE w:val="0"/>
        <w:autoSpaceDN w:val="0"/>
        <w:adjustRightInd w:val="0"/>
        <w:jc w:val="both"/>
      </w:pPr>
      <w:r>
        <w:t xml:space="preserve">Le domande provenienti dal gruppo dei promotori del referendum dovranno essere sottoscritte da almeno uno dei promotori stessi. Le istanze di cui trattasi potranno essere sottoscritte anche da persone delegate da uno degli anzidetti soggetti abilitati, purché corredate del relativo atto di delega. Nessuna autenticazione è richiesta per la sottoscrizione delle domande o delle deleghe. </w:t>
      </w:r>
    </w:p>
    <w:p w:rsidR="00A4015B" w:rsidRDefault="00F30DD7" w:rsidP="00F30DD7">
      <w:pPr>
        <w:widowControl w:val="0"/>
        <w:autoSpaceDE w:val="0"/>
        <w:autoSpaceDN w:val="0"/>
        <w:adjustRightInd w:val="0"/>
        <w:jc w:val="both"/>
      </w:pPr>
      <w:r>
        <w:t xml:space="preserve">Le domande di assegnazione degli spazi devono essere fatte pervenire al comune, entro il suddetto termine, mediante consegna a mano o con posta ordinaria all’indirizzo </w:t>
      </w:r>
      <w:hyperlink r:id="rId7" w:history="1">
        <w:r w:rsidR="00A4015B" w:rsidRPr="00A4015B">
          <w:rPr>
            <w:rStyle w:val="Collegamentoipertestuale"/>
            <w:b/>
            <w:color w:val="auto"/>
            <w:u w:val="none"/>
          </w:rPr>
          <w:t>ufficio.elettorale@comune.lequile.le.it</w:t>
        </w:r>
      </w:hyperlink>
      <w:r>
        <w:t xml:space="preserve"> o posta elettronica certificata all’indirizzo </w:t>
      </w:r>
      <w:r w:rsidRPr="00A4015B">
        <w:rPr>
          <w:b/>
        </w:rPr>
        <w:t>elettorale@pec.comune.</w:t>
      </w:r>
      <w:r w:rsidR="009C0784" w:rsidRPr="00A4015B">
        <w:rPr>
          <w:b/>
        </w:rPr>
        <w:t>lequile.le.it</w:t>
      </w:r>
      <w:r>
        <w:t xml:space="preserve"> </w:t>
      </w:r>
    </w:p>
    <w:p w:rsidR="00A4015B" w:rsidRDefault="00A4015B" w:rsidP="00F30DD7">
      <w:pPr>
        <w:widowControl w:val="0"/>
        <w:autoSpaceDE w:val="0"/>
        <w:autoSpaceDN w:val="0"/>
        <w:adjustRightInd w:val="0"/>
        <w:jc w:val="both"/>
      </w:pPr>
    </w:p>
    <w:p w:rsidR="00F30DD7" w:rsidRPr="009C0784" w:rsidRDefault="00F30DD7" w:rsidP="00F30DD7">
      <w:pPr>
        <w:widowControl w:val="0"/>
        <w:autoSpaceDE w:val="0"/>
        <w:autoSpaceDN w:val="0"/>
        <w:adjustRightInd w:val="0"/>
        <w:jc w:val="both"/>
        <w:rPr>
          <w:b/>
        </w:rPr>
      </w:pPr>
      <w:r w:rsidRPr="009C0784">
        <w:rPr>
          <w:b/>
        </w:rPr>
        <w:t xml:space="preserve">La Giunta comunale, pertanto, ai sensi degli artt. 2, 3 e 4 della legge n. 212/1956 citata, provvederà a individuare, delimitare e ripartire gli spazi per l'affissione di stampati, giornali murali od altri e di manifesti di propaganda, distintamente e in parti uguali, fra i partiti o gruppi politici rappresentati in Parlamento e il gruppo promotore del referendum, che ne abbiano fatto richiesta, tra il 33° e il 31° giorno precedente quello della votazione, e quindi tra </w:t>
      </w:r>
      <w:r w:rsidRPr="009C0784">
        <w:rPr>
          <w:b/>
          <w:i/>
        </w:rPr>
        <w:t>martedì 18 e giovedì 20 agosto 2020.</w:t>
      </w:r>
    </w:p>
    <w:p w:rsidR="00F30DD7" w:rsidRDefault="00F30DD7" w:rsidP="00F30DD7">
      <w:pPr>
        <w:widowControl w:val="0"/>
        <w:autoSpaceDE w:val="0"/>
        <w:autoSpaceDN w:val="0"/>
        <w:adjustRightInd w:val="0"/>
      </w:pPr>
    </w:p>
    <w:p w:rsidR="00F30DD7" w:rsidRDefault="00F30DD7" w:rsidP="00F30DD7">
      <w:pPr>
        <w:widowControl w:val="0"/>
        <w:autoSpaceDE w:val="0"/>
        <w:autoSpaceDN w:val="0"/>
        <w:adjustRightInd w:val="0"/>
      </w:pPr>
    </w:p>
    <w:p w:rsidR="00F30DD7" w:rsidRPr="00F30DD7" w:rsidRDefault="00F30DD7" w:rsidP="00003434">
      <w:pPr>
        <w:widowControl w:val="0"/>
        <w:autoSpaceDE w:val="0"/>
        <w:autoSpaceDN w:val="0"/>
        <w:adjustRightInd w:val="0"/>
        <w:ind w:left="4320" w:firstLine="720"/>
        <w:rPr>
          <w:b/>
        </w:rPr>
      </w:pPr>
      <w:r w:rsidRPr="00F30DD7">
        <w:rPr>
          <w:b/>
        </w:rPr>
        <w:t xml:space="preserve">L’Ufficiale Elettorale </w:t>
      </w:r>
    </w:p>
    <w:p w:rsidR="00986C79" w:rsidRPr="00F30DD7" w:rsidRDefault="00F30DD7" w:rsidP="00F30DD7">
      <w:pPr>
        <w:widowControl w:val="0"/>
        <w:autoSpaceDE w:val="0"/>
        <w:autoSpaceDN w:val="0"/>
        <w:adjustRightInd w:val="0"/>
        <w:rPr>
          <w:b/>
        </w:rPr>
      </w:pPr>
      <w:r w:rsidRPr="00F30DD7">
        <w:rPr>
          <w:b/>
        </w:rPr>
        <w:t xml:space="preserve">                                                                                                 Il Sindaco</w:t>
      </w:r>
    </w:p>
    <w:p w:rsidR="00F30DD7" w:rsidRPr="00533F18" w:rsidRDefault="00F30DD7" w:rsidP="00F30DD7">
      <w:pPr>
        <w:widowControl w:val="0"/>
        <w:tabs>
          <w:tab w:val="left" w:pos="5370"/>
        </w:tabs>
        <w:autoSpaceDE w:val="0"/>
        <w:autoSpaceDN w:val="0"/>
        <w:adjustRightInd w:val="0"/>
        <w:rPr>
          <w:b/>
        </w:rPr>
      </w:pPr>
      <w:r>
        <w:rPr>
          <w:rFonts w:ascii="Arial" w:hAnsi="Arial" w:cs="Arial"/>
          <w:sz w:val="32"/>
          <w:szCs w:val="32"/>
        </w:rPr>
        <w:tab/>
        <w:t xml:space="preserve"> </w:t>
      </w:r>
      <w:r w:rsidRPr="00533F18">
        <w:rPr>
          <w:b/>
        </w:rPr>
        <w:t>Carlà Vincenzo</w:t>
      </w:r>
    </w:p>
    <w:sectPr w:rsidR="00F30DD7" w:rsidRPr="00533F18" w:rsidSect="000304CC">
      <w:headerReference w:type="default" r:id="rId8"/>
      <w:footerReference w:type="default" r:id="rId9"/>
      <w:pgSz w:w="11906" w:h="16838" w:code="9"/>
      <w:pgMar w:top="397" w:right="851"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E2" w:rsidRDefault="00A60DE2" w:rsidP="00B13FD3">
      <w:r>
        <w:separator/>
      </w:r>
    </w:p>
  </w:endnote>
  <w:endnote w:type="continuationSeparator" w:id="0">
    <w:p w:rsidR="00A60DE2" w:rsidRDefault="00A60DE2" w:rsidP="00B1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B7" w:rsidRPr="00F30DD7" w:rsidRDefault="005215B7" w:rsidP="00F30DD7">
    <w:pPr>
      <w:pStyle w:val="Pidipagina"/>
    </w:pPr>
    <w:r w:rsidRPr="00F30D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E2" w:rsidRDefault="00A60DE2" w:rsidP="00B13FD3">
      <w:r>
        <w:separator/>
      </w:r>
    </w:p>
  </w:footnote>
  <w:footnote w:type="continuationSeparator" w:id="0">
    <w:p w:rsidR="00A60DE2" w:rsidRDefault="00A60DE2" w:rsidP="00B1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F8" w:rsidRDefault="00B94111">
    <w:pPr>
      <w:widowControl w:val="0"/>
      <w:autoSpaceDE w:val="0"/>
      <w:autoSpaceDN w:val="0"/>
      <w:adjustRightInd w:val="0"/>
      <w:jc w:val="both"/>
      <w:rPr>
        <w:rFonts w:ascii="Arial" w:hAnsi="Arial"/>
        <w:b/>
        <w:lang/>
      </w:rPr>
    </w:pPr>
    <w:r>
      <w:rPr>
        <w:noProof/>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30480</wp:posOffset>
              </wp:positionV>
              <wp:extent cx="338328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3F8" w:rsidRDefault="008633F8">
                          <w:pPr>
                            <w:keepNext/>
                            <w:outlineLvl w:val="0"/>
                            <w:rPr>
                              <w:sz w:val="48"/>
                            </w:rPr>
                          </w:pPr>
                          <w:r>
                            <w:rPr>
                              <w:sz w:val="48"/>
                            </w:rPr>
                            <w:t>COMUNE di LEQUILE</w:t>
                          </w:r>
                        </w:p>
                        <w:p w:rsidR="008633F8" w:rsidRDefault="008633F8">
                          <w:pPr>
                            <w:widowControl w:val="0"/>
                            <w:autoSpaceDE w:val="0"/>
                            <w:autoSpaceDN w:val="0"/>
                            <w:adjustRightInd w:val="0"/>
                            <w:rPr>
                              <w:sz w:val="32"/>
                              <w:lang/>
                            </w:rPr>
                          </w:pPr>
                          <w:r>
                            <w:rPr>
                              <w:sz w:val="48"/>
                              <w:lang/>
                            </w:rPr>
                            <w:t xml:space="preserve">            </w:t>
                          </w:r>
                          <w:r>
                            <w:rPr>
                              <w:sz w:val="32"/>
                              <w:lang/>
                            </w:rPr>
                            <w:t>Prov. di Lecce</w:t>
                          </w:r>
                        </w:p>
                        <w:p w:rsidR="008633F8" w:rsidRDefault="008633F8">
                          <w:pPr>
                            <w:widowControl w:val="0"/>
                            <w:autoSpaceDE w:val="0"/>
                            <w:autoSpaceDN w:val="0"/>
                            <w:adjustRightInd w:val="0"/>
                            <w:rPr>
                              <w:sz w:val="32"/>
                              <w:lang/>
                            </w:rPr>
                          </w:pPr>
                          <w:r>
                            <w:rPr>
                              <w:sz w:val="32"/>
                              <w:lan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35pt;margin-top:2.4pt;width:266.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" stroked="f">
              <v:textbox>
                <w:txbxContent>
                  <w:p w:rsidR="008633F8" w:rsidRDefault="008633F8">
                    <w:pPr>
                      <w:keepNext/>
                      <w:outlineLvl w:val="0"/>
                      <w:rPr>
                        <w:sz w:val="48"/>
                      </w:rPr>
                    </w:pPr>
                    <w:r>
                      <w:rPr>
                        <w:sz w:val="48"/>
                      </w:rPr>
                      <w:t>COMUNE di LEQUILE</w:t>
                    </w:r>
                  </w:p>
                  <w:p w:rsidR="008633F8" w:rsidRDefault="008633F8">
                    <w:pPr>
                      <w:widowControl w:val="0"/>
                      <w:autoSpaceDE w:val="0"/>
                      <w:autoSpaceDN w:val="0"/>
                      <w:adjustRightInd w:val="0"/>
                      <w:rPr>
                        <w:sz w:val="32"/>
                        <w:lang/>
                      </w:rPr>
                    </w:pPr>
                    <w:r>
                      <w:rPr>
                        <w:sz w:val="48"/>
                        <w:lang/>
                      </w:rPr>
                      <w:t xml:space="preserve">            </w:t>
                    </w:r>
                    <w:r>
                      <w:rPr>
                        <w:sz w:val="32"/>
                        <w:lang/>
                      </w:rPr>
                      <w:t>Prov. di Lecce</w:t>
                    </w:r>
                  </w:p>
                  <w:p w:rsidR="008633F8" w:rsidRDefault="008633F8">
                    <w:pPr>
                      <w:widowControl w:val="0"/>
                      <w:autoSpaceDE w:val="0"/>
                      <w:autoSpaceDN w:val="0"/>
                      <w:adjustRightInd w:val="0"/>
                      <w:rPr>
                        <w:sz w:val="32"/>
                        <w:lang/>
                      </w:rPr>
                    </w:pPr>
                    <w:r>
                      <w:rPr>
                        <w:sz w:val="32"/>
                        <w:lang/>
                      </w:rPr>
                      <w:t xml:space="preserve">    </w:t>
                    </w:r>
                  </w:p>
                </w:txbxContent>
              </v:textbox>
            </v:shape>
          </w:pict>
        </mc:Fallback>
      </mc:AlternateContent>
    </w:r>
    <w:r w:rsidR="008633F8">
      <w:rPr>
        <w:kern w:val="28"/>
      </w:rPr>
      <w:t xml:space="preserve">                           </w:t>
    </w:r>
    <w:r>
      <w:rPr>
        <w:noProof/>
        <w:kern w:val="28"/>
      </w:rPr>
      <w:drawing>
        <wp:inline distT="0" distB="0" distL="0" distR="0">
          <wp:extent cx="609600" cy="9429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42975"/>
                  </a:xfrm>
                  <a:prstGeom prst="rect">
                    <a:avLst/>
                  </a:prstGeom>
                  <a:noFill/>
                  <a:ln>
                    <a:noFill/>
                  </a:ln>
                </pic:spPr>
              </pic:pic>
            </a:graphicData>
          </a:graphic>
        </wp:inline>
      </w:drawing>
    </w:r>
    <w:r w:rsidR="008633F8">
      <w:rPr>
        <w:kern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3"/>
    <w:rsid w:val="00003434"/>
    <w:rsid w:val="000103E3"/>
    <w:rsid w:val="000304CC"/>
    <w:rsid w:val="00104DB4"/>
    <w:rsid w:val="00124DD1"/>
    <w:rsid w:val="001F1B0F"/>
    <w:rsid w:val="00240160"/>
    <w:rsid w:val="00276803"/>
    <w:rsid w:val="002D7051"/>
    <w:rsid w:val="003D5932"/>
    <w:rsid w:val="005215B7"/>
    <w:rsid w:val="00533F18"/>
    <w:rsid w:val="005B4943"/>
    <w:rsid w:val="00621D84"/>
    <w:rsid w:val="007837E5"/>
    <w:rsid w:val="007C3AC1"/>
    <w:rsid w:val="008633F8"/>
    <w:rsid w:val="00877BC5"/>
    <w:rsid w:val="008B0755"/>
    <w:rsid w:val="00906EE1"/>
    <w:rsid w:val="00986C79"/>
    <w:rsid w:val="009C0784"/>
    <w:rsid w:val="00A4015B"/>
    <w:rsid w:val="00A60DE2"/>
    <w:rsid w:val="00A64E43"/>
    <w:rsid w:val="00B13FD3"/>
    <w:rsid w:val="00B37DF9"/>
    <w:rsid w:val="00B7074B"/>
    <w:rsid w:val="00B94111"/>
    <w:rsid w:val="00B96D21"/>
    <w:rsid w:val="00BA6756"/>
    <w:rsid w:val="00BB433B"/>
    <w:rsid w:val="00C87477"/>
    <w:rsid w:val="00CC69CB"/>
    <w:rsid w:val="00D12A12"/>
    <w:rsid w:val="00D551CE"/>
    <w:rsid w:val="00E962DA"/>
    <w:rsid w:val="00F30DD7"/>
    <w:rsid w:val="00FB5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A171E64-C4BA-4FCF-AA4D-1AC99C14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13FD3"/>
    <w:pPr>
      <w:autoSpaceDE w:val="0"/>
      <w:autoSpaceDN w:val="0"/>
    </w:pPr>
    <w:rPr>
      <w:rFonts w:ascii="Courier New" w:hAnsi="Courier New" w:cs="Courier New"/>
      <w:kern w:val="28"/>
      <w:sz w:val="20"/>
      <w:szCs w:val="20"/>
    </w:rPr>
  </w:style>
  <w:style w:type="character" w:customStyle="1" w:styleId="TestonormaleCarattere">
    <w:name w:val="Testo normale Carattere"/>
    <w:basedOn w:val="Carpredefinitoparagrafo"/>
    <w:link w:val="Testonormale"/>
    <w:uiPriority w:val="99"/>
    <w:locked/>
    <w:rsid w:val="00B13FD3"/>
    <w:rPr>
      <w:rFonts w:ascii="Courier New" w:hAnsi="Courier New" w:cs="Courier New"/>
      <w:kern w:val="28"/>
      <w:sz w:val="20"/>
      <w:szCs w:val="20"/>
    </w:rPr>
  </w:style>
  <w:style w:type="paragraph" w:styleId="Intestazione">
    <w:name w:val="header"/>
    <w:basedOn w:val="Normale"/>
    <w:link w:val="IntestazioneCarattere"/>
    <w:uiPriority w:val="99"/>
    <w:rsid w:val="00B13FD3"/>
    <w:pPr>
      <w:tabs>
        <w:tab w:val="center" w:pos="4819"/>
        <w:tab w:val="right" w:pos="9638"/>
      </w:tabs>
    </w:pPr>
  </w:style>
  <w:style w:type="character" w:customStyle="1" w:styleId="IntestazioneCarattere">
    <w:name w:val="Intestazione Carattere"/>
    <w:basedOn w:val="Carpredefinitoparagrafo"/>
    <w:link w:val="Intestazione"/>
    <w:uiPriority w:val="99"/>
    <w:locked/>
    <w:rsid w:val="00B13FD3"/>
    <w:rPr>
      <w:rFonts w:ascii="Times New Roman" w:hAnsi="Times New Roman" w:cs="Times New Roman"/>
      <w:sz w:val="24"/>
      <w:szCs w:val="24"/>
    </w:rPr>
  </w:style>
  <w:style w:type="paragraph" w:styleId="Pidipagina">
    <w:name w:val="footer"/>
    <w:basedOn w:val="Normale"/>
    <w:link w:val="PidipaginaCarattere"/>
    <w:uiPriority w:val="99"/>
    <w:rsid w:val="00B13FD3"/>
    <w:pPr>
      <w:tabs>
        <w:tab w:val="center" w:pos="4819"/>
        <w:tab w:val="right" w:pos="9638"/>
      </w:tabs>
    </w:pPr>
  </w:style>
  <w:style w:type="character" w:customStyle="1" w:styleId="PidipaginaCarattere">
    <w:name w:val="Piè di pagina Carattere"/>
    <w:basedOn w:val="Carpredefinitoparagrafo"/>
    <w:link w:val="Pidipagina"/>
    <w:uiPriority w:val="99"/>
    <w:locked/>
    <w:rsid w:val="00B13FD3"/>
    <w:rPr>
      <w:rFonts w:ascii="Times New Roman" w:hAnsi="Times New Roman" w:cs="Times New Roman"/>
      <w:sz w:val="24"/>
      <w:szCs w:val="24"/>
    </w:rPr>
  </w:style>
  <w:style w:type="paragraph" w:styleId="Testofumetto">
    <w:name w:val="Balloon Text"/>
    <w:basedOn w:val="Normale"/>
    <w:link w:val="TestofumettoCarattere"/>
    <w:uiPriority w:val="99"/>
    <w:semiHidden/>
    <w:rsid w:val="00B13F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3FD3"/>
    <w:rPr>
      <w:rFonts w:ascii="Tahoma" w:hAnsi="Tahoma" w:cs="Tahoma"/>
      <w:sz w:val="16"/>
      <w:szCs w:val="16"/>
    </w:rPr>
  </w:style>
  <w:style w:type="character" w:styleId="Numeropagina">
    <w:name w:val="page number"/>
    <w:basedOn w:val="Carpredefinitoparagrafo"/>
    <w:uiPriority w:val="99"/>
    <w:rsid w:val="00B13FD3"/>
    <w:rPr>
      <w:rFonts w:cs="Times New Roman"/>
    </w:rPr>
  </w:style>
  <w:style w:type="character" w:styleId="Collegamentoipertestuale">
    <w:name w:val="Hyperlink"/>
    <w:basedOn w:val="Carpredefinitoparagrafo"/>
    <w:uiPriority w:val="99"/>
    <w:rsid w:val="009C078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62759">
      <w:marLeft w:val="0"/>
      <w:marRight w:val="0"/>
      <w:marTop w:val="0"/>
      <w:marBottom w:val="0"/>
      <w:divBdr>
        <w:top w:val="none" w:sz="0" w:space="0" w:color="auto"/>
        <w:left w:val="none" w:sz="0" w:space="0" w:color="auto"/>
        <w:bottom w:val="none" w:sz="0" w:space="0" w:color="auto"/>
        <w:right w:val="none" w:sz="0" w:space="0" w:color="auto"/>
      </w:divBdr>
    </w:div>
    <w:div w:id="1665862760">
      <w:marLeft w:val="0"/>
      <w:marRight w:val="0"/>
      <w:marTop w:val="0"/>
      <w:marBottom w:val="0"/>
      <w:divBdr>
        <w:top w:val="none" w:sz="0" w:space="0" w:color="auto"/>
        <w:left w:val="none" w:sz="0" w:space="0" w:color="auto"/>
        <w:bottom w:val="none" w:sz="0" w:space="0" w:color="auto"/>
        <w:right w:val="none" w:sz="0" w:space="0" w:color="auto"/>
      </w:divBdr>
    </w:div>
    <w:div w:id="1665862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elettorale@comune.lequile.l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102C-D96D-4A59-A25F-8C450B3F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Siscom s.a.s.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Siscom</dc:creator>
  <cp:keywords/>
  <dc:description/>
  <cp:lastModifiedBy>Utente</cp:lastModifiedBy>
  <cp:revision>2</cp:revision>
  <dcterms:created xsi:type="dcterms:W3CDTF">2020-08-12T10:10:00Z</dcterms:created>
  <dcterms:modified xsi:type="dcterms:W3CDTF">2020-08-12T10:10:00Z</dcterms:modified>
</cp:coreProperties>
</file>